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中国国民党革命委员会北京市委员会</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（一）机构设置及职责工作任务情况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中国国民党革命委员会北京市委员会为民主党派机关</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履行参政议政、民主监督、参加中国共产党领导的政治协商的基本政治职能。依据北京市机构编制委员会关于印发《八个民主党派市委机关和市工商联机关机构设置、人员编制方案》的通知(京编委〔1997〕2号)批准内设6个处室，分别为：办公室、组织处、宣传处、祖国统一工作联络处、经济建设和社会发展工作处、研究室。</w:t>
      </w:r>
    </w:p>
    <w:p>
      <w:pPr>
        <w:spacing w:line="600" w:lineRule="exact"/>
        <w:ind w:firstLine="707" w:firstLineChars="22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中国国民党革命委员会北京市委员会包括1个预算单位，即中国国民党革命委员会北京市委员会（本级）。</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（二）部门整体绩效目标设立情况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2022年是党和国家历史上极为重要的一年。一年来，在民革中央和中共北京市委的坚强领导下，民革北京市委高举中国特色社会主义伟大旗帜，以习近平新时代中国特色社会主义思想为指导，认真学习贯彻中共十九大、十九届历次全会和</w:t>
      </w:r>
      <w:r>
        <w:rPr>
          <w:rFonts w:hint="eastAsia" w:ascii="仿宋_GB2312" w:hAnsi="仿宋_GB2312" w:eastAsia="仿宋_GB2312" w:cs="仿宋_GB2312"/>
          <w:kern w:val="0"/>
          <w:sz w:val="32"/>
          <w:szCs w:val="32"/>
          <w:lang w:eastAsia="zh-CN"/>
        </w:rPr>
        <w:t>中共</w:t>
      </w:r>
      <w:r>
        <w:rPr>
          <w:rFonts w:hint="eastAsia" w:ascii="仿宋_GB2312" w:hAnsi="仿宋_GB2312" w:eastAsia="仿宋_GB2312" w:cs="仿宋_GB2312"/>
          <w:kern w:val="0"/>
          <w:sz w:val="32"/>
          <w:szCs w:val="32"/>
        </w:rPr>
        <w:t>二十大精神，贯彻落实中共中央、中共北京市委统战工作会议精神，深刻领悟“两个确立”的决定性意义，不断增强“四个意识”、坚定“四个自信”、坚决做到“两个维护”，传承优良传统，深化政治交接，以新时代首都发展为统领，以“履职能力建设年”为抓手，全面加强自身建设，切实提高履职能力，各项工作迈上新台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2022年全年预算数2174.46万元，其中，基本支出预算数1912.07万元，项目支出预算数262.39万元。资金总体支出2065.12万元，其中，基本支出1890.97万元，项目支出174.15万元。预算执行率为95%。</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民革北京市委以思想政治建设为核心，巩固拓展“不忘合作初心、继续携手前进”主题教育和中共党史学习教育成果，深入开展“矢志不渝跟党走、携手奋进新时代”政治交接主题教育，进一步凝聚思想政治共识。深入贯彻“三个文件”“五个纪要”，以民革市委换届工作为重心，做好组织建设各项工作，全面加强组织建设，为更好履行参政党职能提供坚实组织保证。落实“举全党之力抓参政议政”要求，围绕新时代首都发展的重大战略和重点任务凝心聚力，找准履职尽责的切入点和突破口，认真开展调查研究，不断提高参政履职实效。贯彻落实中共中央对台工作决策部署，结合民革中央对台工作部署和北京市对台工作大局，深化京台两地交流合作，加大涉台参政议政力度，为推动两岸关系和平发展做贡献。紧紧依靠各级组织和全市</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在大事要事中展现民革担当，积极参与北京冬奥服务保障，全力以赴抗击疫情。立足传统优势发挥作用，扎实有序开展定点帮扶，社会服务成果进一步巩固。从讲政治的高度持续强化作风建设，坚持以执政党为师，将制度建设、作风建设贯穿于自身建设、履职尽责全过程，转作风促工作、抓工作强作风的良好局面进一步巩固。</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（一）产出完成情况分析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1.产出数量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民革北京市委各级组织认真学习宣传贯彻中共二十大精神，各级组织共开展各类学习会议和活动100余次，</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撰写心得体会近300篇。深入学习贯彻习近平新时代中国特色社会主义思想，中央统战工作会议、市第十三次党代会召开后，各级组织共开展集中学习、座谈研讨40余次，撰写心得体会100余篇。聚焦思想政治引领和履职实践，发挥全市</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之家和民革书屋作用，举办主题读书分享会3次、履职读书活动6期。组织开展理论研究，全年向市政协、市委统战部、市社院等报送理论研究文章28篇。深化自有宣传阵地建设,积极倡导“动动手指宣传民革”，在微信公众号、门户网站开辟</w:t>
      </w:r>
      <w:r>
        <w:rPr>
          <w:rFonts w:hint="eastAsia" w:ascii="仿宋_GB2312" w:hAnsi="仿宋_GB2312" w:eastAsia="仿宋_GB2312" w:cs="仿宋_GB2312"/>
          <w:color w:val="000000"/>
          <w:kern w:val="0"/>
          <w:sz w:val="32"/>
          <w:szCs w:val="32"/>
          <w:lang w:eastAsia="zh-CN"/>
        </w:rPr>
        <w:t>中共</w:t>
      </w:r>
      <w:r>
        <w:rPr>
          <w:rFonts w:hint="eastAsia" w:ascii="仿宋_GB2312" w:hAnsi="仿宋_GB2312" w:eastAsia="仿宋_GB2312" w:cs="仿宋_GB2312"/>
          <w:color w:val="000000"/>
          <w:kern w:val="0"/>
          <w:sz w:val="32"/>
          <w:szCs w:val="32"/>
        </w:rPr>
        <w:t>二十大精神、换届、主题教育、履职能力建设年、同心抗疫等专题专栏，全年推送公众号文章569篇、网站发稿近500篇；编发《北京民革》杂志4期，创刊并编发《民革北京市委宣传工作通讯》6期，加大对基层组织宣传报道力度。重视文史资料工作，完成3位民革前辈的史料采集工作。加强领导班子和领导机构建设，制定4个方面18项具体措施，与履职工作一体推动整改落实。举办参政议政、宣传等业务培训班5期，专题知情明政培训会4场和提升议政建言质量座谈会。推荐84人参加民革中央、市委统战部各类主体班和专题班，参加市政协“迎接黎明，汇聚各界协商建国”专题读书活动。加强联动开展调研协商，参加市政协知情明政会9次，联合调研近30次，参与人数达60余人次，在市政协各类议政性会议上发言8人次。在两次政协全会上，共提交集体提案20件。坚持从政治高度认识和把握反映社情民意信息工作，全年报送信息近千篇次，被民革中央和市级单位采用近350篇次。全年开展民主监督工作对接8次，参加平谷区2022年农村工作会议，就平谷区“农业中关村”建设三年行动计划提出建议2条，完成《平谷区集体经济薄弱村产业经济振兴调研报告》，把平谷区作为实现共同富裕、种业振兴等重点课题研究对象，形成建言信息6篇。签订3个村企联建项目投资意向协议。聚焦两岸关系重点热点问题，强化涉台特色研究，完成2022年度涉台调研报告5篇。勇于担当作为，同心抗疫共克时坚，近200名医药卫生界</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党员奋战在医疗救治第一线，打满抗疫全场，守护人民健康。全市</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累计参与志愿服务超1700余次，筹集捐款捐物累计折合人民币超1336万元。认真落实民革中央定点帮扶纳雍县工作部署，举办“农文旅融合发展”线上培训班，培训当地基层干部和乡村振兴带头人等700余人，持续开展消费帮扶，动员全市</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党员参加“我为帮扶下一单”活动，支持“纳货出山”66.92万元。落实市委统战部“8+1”行动推进会精神，协调中山博爱基金会向门头沟区妇幼保健院捐赠59.72万元，助力疫情防控和院感防控工作；推荐近30名</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党员参与中关村门头沟园民主党派专家服务站工作，服务地区企业发展；牵线中国乡村发展协会，为20余名乡村带头人开展线上专题培训。充分发挥工作机构作用，中山书画社组织30余位书画家</w:t>
      </w:r>
      <w:r>
        <w:rPr>
          <w:rFonts w:hint="eastAsia" w:ascii="仿宋_GB2312" w:hAnsi="仿宋_GB2312" w:eastAsia="仿宋_GB2312" w:cs="仿宋_GB2312"/>
          <w:color w:val="000000"/>
          <w:kern w:val="0"/>
          <w:sz w:val="32"/>
          <w:szCs w:val="32"/>
          <w:lang w:eastAsia="zh-CN"/>
        </w:rPr>
        <w:t>创作</w:t>
      </w:r>
      <w:r>
        <w:rPr>
          <w:rFonts w:hint="eastAsia" w:ascii="仿宋_GB2312" w:hAnsi="仿宋_GB2312" w:eastAsia="仿宋_GB2312" w:cs="仿宋_GB2312"/>
          <w:color w:val="000000"/>
          <w:kern w:val="0"/>
          <w:sz w:val="32"/>
          <w:szCs w:val="32"/>
        </w:rPr>
        <w:t>80余幅书画作品，举办庆祝</w:t>
      </w:r>
      <w:r>
        <w:rPr>
          <w:rFonts w:hint="eastAsia" w:ascii="仿宋_GB2312" w:hAnsi="仿宋_GB2312" w:eastAsia="仿宋_GB2312" w:cs="仿宋_GB2312"/>
          <w:color w:val="000000"/>
          <w:kern w:val="0"/>
          <w:sz w:val="32"/>
          <w:szCs w:val="32"/>
          <w:lang w:eastAsia="zh-CN"/>
        </w:rPr>
        <w:t>中共</w:t>
      </w:r>
      <w:r>
        <w:rPr>
          <w:rFonts w:hint="eastAsia" w:ascii="仿宋_GB2312" w:hAnsi="仿宋_GB2312" w:eastAsia="仿宋_GB2312" w:cs="仿宋_GB2312"/>
          <w:color w:val="000000"/>
          <w:kern w:val="0"/>
          <w:sz w:val="32"/>
          <w:szCs w:val="32"/>
        </w:rPr>
        <w:t>二十大胜利召开书画笔会暨优秀作品展，编辑《风雨同舟——北京中山书画社当代名家精品集》。高度重视制度建设对加强自身建设和规范工作的基础性保障作用，全年召开全体（扩大）会议4次、常委会会议7次、主委会议16次、主委办公会议13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2.产出质量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民革北京市委组织开展理论研究，组织参加市委统战部“共话百年统战”征文活动，获“优秀组织奖”，获一等奖2篇、二等奖1篇、优秀奖3篇。深化政治交接，新一届领导班子的年龄结构、知识结构进一步优化，整体素质进一步提升。领导班子成员平均年龄55岁；研究生以上学历3人，占总数的33.3%，全部具有中、高级职称。强化提案选题、办理全过程协商，在两次政协全会上，共提交集体提案20件，其中5件获评市政协年度优秀提案。在民主党派参政议政调研成果评比中，5篇调研成果获奖，其中一等奖1篇，二等奖2篇，三等奖2篇。擦亮“中山论坛”品牌，统筹党内人才资源和党外专家智库，中山论坛获评“北京市参政议政服务发展同心奖”优秀创新成果。聚焦两岸关系重点热点问题，强化涉台特色研究，获评市台办“2021年度涉台调研课题报告”一等奖1篇、二等奖2篇、三等奖4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3.产出进度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2022年民革北京市委严格按照工作计划执行，克服疫情等因素影响，发挥主动性，及时转换工作方式，按照规定的时间进度全面完成预算目标。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4.产出成本</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2022年全年预算数2174.46万元，其中，基本支出预算数1912.07万元，项目支出预算数262.39万元。资金总体支出2065.12万元，其中，基本支出1890.97万元，项目支出174.15万元。预算执行率为95%。</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（二）效果</w:t>
      </w:r>
      <w:r>
        <w:rPr>
          <w:rFonts w:ascii="楷体" w:hAnsi="楷体" w:eastAsia="楷体"/>
          <w:sz w:val="32"/>
          <w:szCs w:val="32"/>
        </w:rPr>
        <w:t>实现情况分析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1.经济效益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民革市委主要领导与平谷区主要领导就统筹推进疫情防控与落实乡村振兴战略进行沟通协商，提出意见建议，精准对接资源。参加平谷区2022年农村工作会议，就平谷区“农业中关村”建设三年行动计划提出建议2条，完成《平谷区集体经济薄弱村产业经济振兴调研报告》，把平谷区作为实现共同富裕、种业振兴等重点课题研究对象，形成建言信息6篇。助力平谷乡村振兴，实施“平谷三农人才系列培训计划”年度项目“平谷区高素质农民培训”，开展大桃、民宿、设施蔬菜、农产品+电商、新型农业经营主体等培训，提升一线人员知识技能和就业能力。签订3个村企联建项目投资意向协议。</w:t>
      </w:r>
    </w:p>
    <w:p>
      <w:pPr>
        <w:spacing w:line="600" w:lineRule="exact"/>
        <w:ind w:firstLine="707" w:firstLineChars="221"/>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认真落实民革中央定点帮扶纳雍县工作部署，切实承担结对帮扶工作责任，扎实有序推进羊场乡结对帮扶工作。立足帮扶地区实际，突出自身资源优势，量体裁衣制定帮扶项目，因地制宜推动纳雍特色产业发展。通过组织专业论证、对接专业部门、申请专项资金，“三个专”推进精准帮扶，赋能乡村产业振兴。推动特色中草药种产销项目落地启动，400亩玄参种植初见成效；依托北京文化产业龙头企业的先进模式与成熟经验，利用羊场乡传统文化与特色手工艺基础，启动“少数民族特色手工艺发展项目”；举办“农文旅融合发展”线上培训班，培训当地基层干部和乡村振兴带头人等700余人；组织参加民革中央第六届“中山博爱夏令营”支教活动；持续开展消费帮扶，动员全市</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党员参加“我为帮扶下一单”活动，支持“纳货出山”66.92万元。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2.社会效益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创办“2022华灿点亮乡村”论坛，推动民革中央“华灿奖”创新理念和设计产品落地北京，促进台湾青年落地北京发展，该论坛列入国台办重点对台交流项目。多层次、多渠道、多领域开展两岸交流活动，不断探索由交流到融合再到认同的有效途径。民革市委主要领导出席“2022两岸青年峰会”并致辞，联合市台办举办第七届“京台学者共研会”，联合市台联举办纪念“九二共识”30周年海峡两岸书画名家交流展，协助市黄埔军校同学会举办“促进祖国统一大业”图片展，联合石景山区文化交流促进会等单位举办以“健康养老 情系两岸”为主题的2022京台社区发展论坛。创设对台交流基地。支持民革朝阳区委以非遗文化为特色建设海峡两岸交流基地，获评市台办“京台基层交流基地”，为全市首家由民主党派成员创办的交流基地。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引导</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积极参与、服务保障冬奥会筹办举办，参加“首都统一战线同心观赛团”，组织25批次、200余人次参与观赛活动。戴琼海、林金开担任北京冬奥会火炬手，刘珊、柳千训获评“2022年北京冬奥会冬残奥会北京市先进个人”，7名</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党员被抽调到冬奥组委直接参与赛事筹办举办，10余人收到冬奥组委各部门感谢信。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民革市委认真贯彻落实“首都统一战线同心抗疫行动”统一部署，发挥资源优势和专业特长，迅速动员各级组织和广大</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党员积极投身各轮次疫情防控工作，广泛募集捐助防控物资，组建同心抗疫志愿服务“机动队”，下沉一线参与疫情防控志愿服务，提供人力、物力、财力、智力支持。近200名医药卫生界</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党员奋战在医疗救治第一线，打满抗疫全场，守护人民健康。全市</w:t>
      </w:r>
      <w:r>
        <w:rPr>
          <w:rFonts w:hint="eastAsia" w:ascii="仿宋_GB2312" w:hAnsi="仿宋_GB2312" w:eastAsia="仿宋_GB2312" w:cs="仿宋_GB2312"/>
          <w:color w:val="000000"/>
          <w:kern w:val="0"/>
          <w:sz w:val="32"/>
          <w:szCs w:val="32"/>
          <w:lang w:eastAsia="zh-CN"/>
        </w:rPr>
        <w:t>民革</w:t>
      </w:r>
      <w:r>
        <w:rPr>
          <w:rFonts w:hint="eastAsia" w:ascii="仿宋_GB2312" w:hAnsi="仿宋_GB2312" w:eastAsia="仿宋_GB2312" w:cs="仿宋_GB2312"/>
          <w:color w:val="000000"/>
          <w:kern w:val="0"/>
          <w:sz w:val="32"/>
          <w:szCs w:val="32"/>
        </w:rPr>
        <w:t>党员累计参与志愿服务超1700余次，筹集捐款捐物累计折合人民币超1336万元。面对香港、上海来势汹汹的新冠疫情，民革市委迅速伸出援手，协调各方资源助力“援港抗疫”“同心守沪”。</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3.可持续性影响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深化与主流媒体合作。树立“大宣传”工作理念，融合发展水平不断提升。《人民政协报》《北京日报》等对民革北京市第十四次代表大会进行集中报</w:t>
      </w:r>
      <w:bookmarkStart w:id="1" w:name="_GoBack"/>
      <w:bookmarkEnd w:id="1"/>
      <w:r>
        <w:rPr>
          <w:rFonts w:hint="eastAsia" w:ascii="仿宋_GB2312" w:hAnsi="仿宋_GB2312" w:eastAsia="仿宋_GB2312" w:cs="仿宋_GB2312"/>
          <w:color w:val="000000"/>
          <w:kern w:val="0"/>
          <w:sz w:val="32"/>
          <w:szCs w:val="32"/>
        </w:rPr>
        <w:t>道；《团结报》以专版形式报道北京民革五年工作；制作五年工作回顾视频片、画册和参政议政成果选编，展现可喜成绩，汇聚奋进力量。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深化自有宣传阵地建设。积极倡导“动动手指宣传民革”，在微信公众号、门户网站开辟</w:t>
      </w:r>
      <w:r>
        <w:rPr>
          <w:rFonts w:hint="eastAsia" w:ascii="仿宋_GB2312" w:hAnsi="仿宋_GB2312" w:eastAsia="仿宋_GB2312" w:cs="仿宋_GB2312"/>
          <w:color w:val="000000"/>
          <w:kern w:val="0"/>
          <w:sz w:val="32"/>
          <w:szCs w:val="32"/>
          <w:lang w:eastAsia="zh-CN"/>
        </w:rPr>
        <w:t>中共</w:t>
      </w:r>
      <w:r>
        <w:rPr>
          <w:rFonts w:hint="eastAsia" w:ascii="仿宋_GB2312" w:hAnsi="仿宋_GB2312" w:eastAsia="仿宋_GB2312" w:cs="仿宋_GB2312"/>
          <w:color w:val="000000"/>
          <w:kern w:val="0"/>
          <w:sz w:val="32"/>
          <w:szCs w:val="32"/>
        </w:rPr>
        <w:t>二十大精神、换届、主题教育、履职能力建设年、同心抗疫等专题专栏，全年推送公众号文章569篇、网站发稿近500篇；编发《北京民革》杂志4期，创刊并编发《民革北京市委宣传工作通讯》6期，加大对基层组织宣传报道力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4.服务对象满意度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民革市委领导班子认真落实“讲政治、重团结、干实事”要求，不断提升“五种能力”，打造坚强有力的领导集体。贯彻民主集中制，坚持集体领导和个人分工负责相结合，有效提高民主决策、科学决策水平。落实领导班子民主生活会、述职和民主评议、谈心谈话制度，增进班子团结、凝聚队伍合力。通过谈心谈话、召开座谈会、书面征求意见、参加支部活动等形式征求意见建议，制定4个方面18项具体措施，与履职工作一体推动整改落实。深化联系基层制度，班子成员结合分管工作到所联系的履职机构、区级组织及基层组织，指导工作、开展调研，听取意见建议。重视人才梯队的层次合理、分布均衡和衔接有序，关注青年成长。举办“青春绚丽绽放 强国复兴有我——首届青年讲坛”，为组织培养后备人才。重视界别委员发挥作用，以市政协委员履职情况通报为契机，加强委员谈心谈话，强化履职责任意识。</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（一）财务管理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1.财务管理制度健全性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2020年</w:t>
      </w:r>
      <w:r>
        <w:rPr>
          <w:rFonts w:hint="eastAsia" w:ascii="仿宋_GB2312" w:hAnsi="仿宋_GB2312" w:eastAsia="仿宋_GB2312" w:cs="仿宋_GB2312"/>
          <w:color w:val="000000"/>
          <w:kern w:val="0"/>
          <w:sz w:val="32"/>
          <w:szCs w:val="32"/>
        </w:rPr>
        <w:t>依据《中华人民共和国会计法》和《中华人民共和国预算法》修订了《民革北京市委财务管理办法》和《民革北京市委经费支出管理办法》，从资金审批、预算管理、会计核算、资产管理、政府采购等方面对财务工作进行了规范监督，保障日常工作有章可循，财务制度基础扎实。2022年继续执行修订后的财务管理办法和经费支出管理办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2.资金使用合规性和安全性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严格执行法律法规和财经纪律，严格执行国家和北京市规定的经费开支标准，严格执行财务管理制度和内控要求。所有资金的支付必须符合预算批复的用途，并规定了审批程序和支付流程，明确各个节点的职责和风险点，保证资金使用的安全性；涉及政府采购的支付必须按照北京市财政局政府采购流程进行，资金支付使用公务卡必须按照公务卡结算相关制度和规定进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3.会计基础信息完善性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宋体"/>
          <w:color w:val="000000"/>
          <w:kern w:val="0"/>
          <w:sz w:val="32"/>
          <w:szCs w:val="32"/>
        </w:rPr>
      </w:pPr>
      <w:r>
        <w:rPr>
          <w:rFonts w:hint="eastAsia" w:ascii="仿宋_GB2312" w:hAnsi="仿宋_GB2312" w:eastAsia="仿宋_GB2312" w:cs="仿宋_GB2312"/>
          <w:color w:val="000000"/>
          <w:kern w:val="0"/>
          <w:sz w:val="32"/>
          <w:szCs w:val="32"/>
        </w:rPr>
        <w:t>严格执行政府会计准则制度，按照实际发生的经济业务事项进行会计核算，及时提供合法、真实、准确、完整的会计信息。</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（二）资产管理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革北京市委注重资产管理工作，建立健全内部资产管理制度，规范资产配置、使用、处置等各环节的管理，强化职责分工，保障了资产的安全完整。严格按照以权责发生制为基础编报财务报告，做好财务报告与决算、行政事业性国有资产报告之间数据衔接。</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（三）绩效</w:t>
      </w:r>
      <w:r>
        <w:rPr>
          <w:rFonts w:ascii="楷体" w:hAnsi="楷体" w:eastAsia="楷体"/>
          <w:sz w:val="32"/>
          <w:szCs w:val="32"/>
        </w:rPr>
        <w:t>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sz w:val="32"/>
          <w:szCs w:val="32"/>
        </w:rPr>
      </w:pPr>
      <w:r>
        <w:rPr>
          <w:rFonts w:hint="eastAsia" w:ascii="仿宋_GB2312" w:hAnsi="仿宋_GB2312" w:eastAsia="仿宋_GB2312" w:cs="仿宋_GB2312"/>
          <w:sz w:val="32"/>
          <w:szCs w:val="32"/>
        </w:rPr>
        <w:t>落实《中共北京市委北京市人民政府关于全面实施预算绩效管理的实施意见》要求，发挥预算绩效管理主体责任，预算编制时填报部门整体支出绩效目标，将全部项目支出纳入绩效管理；对当年1月至6月的预算执行和绩效目标实现程度开展绩效监控分析；开展绩效自评，实现项目支出自评全覆盖，同步开展整体绩效评价，全方位把握整体预算执行、绩效目标实现和预算管理情况。2022年按照</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财政局要求，根据本部门职能和核心业务，结合历年支出情况，制定了本部门绩效指标和标准，形成本部门预算绩效指标体系库，推动预算绩效管理标准科学、程序规范、方法合理、结果可信。</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（四）结转结余率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2022年，年末结转和结余109.33万元，支出调整预算数</w:t>
      </w:r>
      <w:r>
        <w:rPr>
          <w:rFonts w:hint="eastAsia" w:ascii="仿宋_GB2312" w:hAnsi="仿宋_GB2312" w:eastAsia="仿宋_GB2312" w:cs="仿宋_GB2312"/>
          <w:color w:val="000000"/>
          <w:kern w:val="0"/>
          <w:sz w:val="32"/>
          <w:szCs w:val="32"/>
          <w:lang w:val="en-US" w:eastAsia="zh-CN"/>
        </w:rPr>
        <w:t>2174.46</w:t>
      </w:r>
      <w:r>
        <w:rPr>
          <w:rFonts w:hint="eastAsia" w:ascii="仿宋_GB2312" w:hAnsi="仿宋_GB2312" w:eastAsia="仿宋_GB2312" w:cs="仿宋_GB2312"/>
          <w:sz w:val="32"/>
          <w:szCs w:val="32"/>
        </w:rPr>
        <w:t>万元，结转结余率为5.03%。</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（五）部门</w:t>
      </w:r>
      <w:r>
        <w:rPr>
          <w:rFonts w:ascii="楷体" w:hAnsi="楷体" w:eastAsia="楷体"/>
          <w:sz w:val="32"/>
          <w:szCs w:val="32"/>
        </w:rPr>
        <w:t>预决算差异率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2022年，年初预算数2031.37万元，决算数2173.92万元，部门预决算差异率为7.02%。</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（一）评价</w:t>
      </w:r>
      <w:r>
        <w:rPr>
          <w:rFonts w:ascii="楷体" w:hAnsi="楷体" w:eastAsia="楷体"/>
          <w:sz w:val="32"/>
          <w:szCs w:val="32"/>
        </w:rPr>
        <w:t>得分</w:t>
      </w:r>
      <w:r>
        <w:rPr>
          <w:rFonts w:hint="eastAsia" w:ascii="楷体" w:hAnsi="楷体" w:eastAsia="楷体"/>
          <w:sz w:val="32"/>
          <w:szCs w:val="32"/>
        </w:rPr>
        <w:t>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民革北京市委整体绩效评价指标体系评分95.1分，其中当年预算执行情况18分，整体绩效目标实现情况59.1分，预算管理情况18分。</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本年对2022年度绩效工作进行分析发现，绩效工作有很大进步，能够按照编制的指标体系编制预算，合理制定各项指标，但也发现一些问题，主要是：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1.部分项目前期调研不充分，对项目实施的风险预估不足，缺少有效的风险应对措施，项目执行进度和效益未达到预期目标。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2.体现绩效的成果资料不够丰富，相关成果总结分析不充分。部分项目的相关社会效益、经济效益、可持续影响等应加强同比、环比的数据分析。</w:t>
      </w:r>
    </w:p>
    <w:p>
      <w:pPr>
        <w:spacing w:line="600" w:lineRule="exact"/>
        <w:ind w:firstLine="640" w:firstLineChars="20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404040"/>
          <w:sz w:val="32"/>
          <w:szCs w:val="32"/>
          <w:shd w:val="clear" w:color="auto" w:fill="FFFFFF"/>
        </w:rPr>
        <w:t>加强项目立项的前期调研论证工作，充分考虑各种项目实施风险，并针对相关风险制定切实可行的项目实施方案，确保项目的顺利实施，提高财政资金绩效。同时，</w:t>
      </w:r>
      <w:r>
        <w:rPr>
          <w:rFonts w:hint="eastAsia" w:ascii="仿宋_GB2312" w:hAnsi="仿宋_GB2312" w:eastAsia="仿宋_GB2312" w:cs="仿宋_GB2312"/>
          <w:color w:val="000000"/>
          <w:kern w:val="0"/>
          <w:sz w:val="32"/>
          <w:szCs w:val="32"/>
        </w:rPr>
        <w:t>充分利用绩效评价结果，统筹安排下年资金，合理填报各项绩效目标，使业务开展目标更加明确，充分发挥财政资金的使用效益。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2.加强项目资料的收集和整理，注重绩效成果材料和评价资料的累积，在突出项目“绩”</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“效”方面多做工作，更好地体现项目的实施效益。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3.针对各</w:t>
      </w:r>
      <w:r>
        <w:rPr>
          <w:rFonts w:hint="eastAsia" w:ascii="仿宋_GB2312" w:hAnsi="仿宋_GB2312" w:eastAsia="仿宋_GB2312" w:cs="仿宋_GB2312"/>
          <w:color w:val="000000"/>
          <w:kern w:val="0"/>
          <w:sz w:val="32"/>
          <w:szCs w:val="32"/>
          <w:lang w:eastAsia="zh-CN"/>
        </w:rPr>
        <w:t>个</w:t>
      </w:r>
      <w:r>
        <w:rPr>
          <w:rFonts w:hint="eastAsia" w:ascii="仿宋_GB2312" w:hAnsi="仿宋_GB2312" w:eastAsia="仿宋_GB2312" w:cs="仿宋_GB2312"/>
          <w:color w:val="000000"/>
          <w:kern w:val="0"/>
          <w:sz w:val="32"/>
          <w:szCs w:val="32"/>
        </w:rPr>
        <w:t>项目，制定完整的、具有可操作性的实施方案，细化年度工作，进行任务分解，明确责任分工、时间计划、资金使用计划、风险防控、绩效体系等内容。</w:t>
      </w:r>
    </w:p>
    <w:p>
      <w:pPr>
        <w:pStyle w:val="3"/>
        <w:rPr>
          <w:sz w:val="32"/>
          <w:szCs w:val="32"/>
        </w:rPr>
      </w:pPr>
      <w:bookmarkStart w:id="0" w:name="_Toc103006301"/>
      <w:r>
        <w:rPr>
          <w:rFonts w:hint="eastAsia"/>
          <w:sz w:val="32"/>
          <w:szCs w:val="32"/>
        </w:rPr>
        <w:t>七、附件</w:t>
      </w:r>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sectPr>
          <w:footerReference r:id="rId3" w:type="default"/>
          <w:pgSz w:w="11906" w:h="16838"/>
          <w:pgMar w:top="1440" w:right="1800" w:bottom="1440" w:left="1800" w:header="851" w:footer="964" w:gutter="0"/>
          <w:pgNumType w:start="1"/>
          <w:cols w:space="425" w:num="1"/>
          <w:docGrid w:type="lines" w:linePitch="435" w:charSpace="0"/>
        </w:sectPr>
      </w:pPr>
      <w:r>
        <w:rPr>
          <w:rFonts w:hint="eastAsia" w:ascii="仿宋_GB2312" w:hAnsi="仿宋_GB2312" w:eastAsia="仿宋_GB2312" w:cs="仿宋_GB2312"/>
          <w:sz w:val="32"/>
          <w:szCs w:val="32"/>
        </w:rPr>
        <w:t>2022年部门整体绩效评价指标体系评分表</w:t>
      </w:r>
    </w:p>
    <w:tbl>
      <w:tblPr>
        <w:tblStyle w:val="7"/>
        <w:tblW w:w="14174" w:type="dxa"/>
        <w:tblInd w:w="0" w:type="dxa"/>
        <w:tblLayout w:type="fixed"/>
        <w:tblCellMar>
          <w:top w:w="0" w:type="dxa"/>
          <w:left w:w="108" w:type="dxa"/>
          <w:bottom w:w="0" w:type="dxa"/>
          <w:right w:w="108" w:type="dxa"/>
        </w:tblCellMar>
      </w:tblPr>
      <w:tblGrid>
        <w:gridCol w:w="1114"/>
        <w:gridCol w:w="1114"/>
        <w:gridCol w:w="1707"/>
        <w:gridCol w:w="1278"/>
        <w:gridCol w:w="1882"/>
        <w:gridCol w:w="845"/>
        <w:gridCol w:w="845"/>
        <w:gridCol w:w="2537"/>
        <w:gridCol w:w="2852"/>
      </w:tblGrid>
      <w:tr>
        <w:tblPrEx>
          <w:tblLayout w:type="fixed"/>
          <w:tblCellMar>
            <w:top w:w="0" w:type="dxa"/>
            <w:left w:w="108" w:type="dxa"/>
            <w:bottom w:w="0" w:type="dxa"/>
            <w:right w:w="108" w:type="dxa"/>
          </w:tblCellMar>
        </w:tblPrEx>
        <w:trPr>
          <w:cantSplit/>
          <w:trHeight w:val="90" w:hRule="atLeast"/>
        </w:trPr>
        <w:tc>
          <w:tcPr>
            <w:tcW w:w="14174" w:type="dxa"/>
            <w:gridSpan w:val="9"/>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2022年部门整体绩效评价指标体系评分表</w:t>
            </w:r>
          </w:p>
        </w:tc>
      </w:tr>
      <w:tr>
        <w:tblPrEx>
          <w:tblLayout w:type="fixed"/>
          <w:tblCellMar>
            <w:top w:w="0" w:type="dxa"/>
            <w:left w:w="108" w:type="dxa"/>
            <w:bottom w:w="0" w:type="dxa"/>
            <w:right w:w="108" w:type="dxa"/>
          </w:tblCellMar>
        </w:tblPrEx>
        <w:trPr>
          <w:cantSplit/>
          <w:trHeight w:val="470"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Layout w:type="fixed"/>
          <w:tblCellMar>
            <w:top w:w="0" w:type="dxa"/>
            <w:left w:w="108" w:type="dxa"/>
            <w:bottom w:w="0" w:type="dxa"/>
            <w:right w:w="108" w:type="dxa"/>
          </w:tblCellMar>
        </w:tblPrEx>
        <w:trPr>
          <w:cantSplit/>
          <w:trHeight w:val="660" w:hRule="atLeast"/>
        </w:trPr>
        <w:tc>
          <w:tcPr>
            <w:tcW w:w="1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12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18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8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285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Layout w:type="fixed"/>
          <w:tblCellMar>
            <w:top w:w="0" w:type="dxa"/>
            <w:left w:w="108" w:type="dxa"/>
            <w:bottom w:w="0" w:type="dxa"/>
            <w:right w:w="108" w:type="dxa"/>
          </w:tblCellMar>
        </w:tblPrEx>
        <w:trPr>
          <w:cantSplit/>
          <w:trHeight w:val="630" w:hRule="atLeast"/>
        </w:trPr>
        <w:tc>
          <w:tcPr>
            <w:tcW w:w="111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1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ascii="宋体" w:hAnsi="宋体" w:cs="宋体"/>
                <w:color w:val="000000"/>
                <w:kern w:val="0"/>
                <w:sz w:val="20"/>
                <w:szCs w:val="20"/>
              </w:rPr>
              <w:t>2,17</w:t>
            </w:r>
            <w:r>
              <w:rPr>
                <w:rFonts w:hint="eastAsia" w:ascii="宋体" w:hAnsi="宋体" w:cs="宋体"/>
                <w:color w:val="000000"/>
                <w:kern w:val="0"/>
                <w:sz w:val="20"/>
                <w:szCs w:val="20"/>
                <w:lang w:val="en-US" w:eastAsia="zh-CN"/>
              </w:rPr>
              <w:t>4</w:t>
            </w:r>
            <w:r>
              <w:rPr>
                <w:rFonts w:ascii="宋体" w:hAnsi="宋体" w:cs="宋体"/>
                <w:color w:val="000000"/>
                <w:kern w:val="0"/>
                <w:sz w:val="20"/>
                <w:szCs w:val="20"/>
              </w:rPr>
              <w:t>.</w:t>
            </w:r>
            <w:r>
              <w:rPr>
                <w:rFonts w:hint="eastAsia" w:ascii="宋体" w:hAnsi="宋体" w:cs="宋体"/>
                <w:color w:val="000000"/>
                <w:kern w:val="0"/>
                <w:sz w:val="20"/>
                <w:szCs w:val="20"/>
                <w:lang w:val="en-US" w:eastAsia="zh-CN"/>
              </w:rPr>
              <w:t>46</w:t>
            </w:r>
          </w:p>
        </w:tc>
        <w:tc>
          <w:tcPr>
            <w:tcW w:w="12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2,065.13</w:t>
            </w:r>
          </w:p>
        </w:tc>
        <w:tc>
          <w:tcPr>
            <w:tcW w:w="18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r>
              <w:rPr>
                <w:rFonts w:ascii="宋体" w:hAnsi="宋体" w:cs="宋体"/>
                <w:color w:val="000000"/>
                <w:kern w:val="0"/>
                <w:sz w:val="20"/>
                <w:szCs w:val="20"/>
              </w:rPr>
              <w:t>5%</w:t>
            </w:r>
          </w:p>
        </w:tc>
        <w:tc>
          <w:tcPr>
            <w:tcW w:w="845"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45"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8</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2852"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Layout w:type="fixed"/>
          <w:tblCellMar>
            <w:top w:w="0" w:type="dxa"/>
            <w:left w:w="108" w:type="dxa"/>
            <w:bottom w:w="0" w:type="dxa"/>
            <w:right w:w="108" w:type="dxa"/>
          </w:tblCellMar>
        </w:tblPrEx>
        <w:trPr>
          <w:cantSplit/>
          <w:trHeight w:val="600" w:hRule="atLeast"/>
        </w:trPr>
        <w:tc>
          <w:tcPr>
            <w:tcW w:w="111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1,912.07</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1,890.97</w:t>
            </w:r>
          </w:p>
        </w:tc>
        <w:tc>
          <w:tcPr>
            <w:tcW w:w="188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15" w:hRule="atLeast"/>
        </w:trPr>
        <w:tc>
          <w:tcPr>
            <w:tcW w:w="111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r>
              <w:rPr>
                <w:rFonts w:ascii="宋体" w:hAnsi="宋体" w:cs="宋体"/>
                <w:color w:val="000000"/>
                <w:kern w:val="0"/>
                <w:sz w:val="20"/>
                <w:szCs w:val="20"/>
              </w:rPr>
              <w:t>262.39</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r>
              <w:rPr>
                <w:rFonts w:ascii="宋体" w:hAnsi="宋体" w:cs="宋体"/>
                <w:color w:val="000000"/>
                <w:kern w:val="0"/>
                <w:sz w:val="20"/>
                <w:szCs w:val="20"/>
              </w:rPr>
              <w:t>174.15</w:t>
            </w:r>
          </w:p>
        </w:tc>
        <w:tc>
          <w:tcPr>
            <w:tcW w:w="18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2708" w:hRule="atLeast"/>
        </w:trPr>
        <w:tc>
          <w:tcPr>
            <w:tcW w:w="111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0</w:t>
            </w:r>
            <w:r>
              <w:rPr>
                <w:rFonts w:ascii="宋体" w:hAnsi="宋体" w:cs="宋体"/>
                <w:color w:val="000000"/>
                <w:kern w:val="0"/>
                <w:sz w:val="20"/>
                <w:szCs w:val="20"/>
              </w:rPr>
              <w:t>.00</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0</w:t>
            </w:r>
            <w:r>
              <w:rPr>
                <w:rFonts w:ascii="宋体" w:hAnsi="宋体" w:cs="宋体"/>
                <w:color w:val="000000"/>
                <w:kern w:val="0"/>
                <w:sz w:val="20"/>
                <w:szCs w:val="20"/>
              </w:rPr>
              <w:t>.00</w:t>
            </w:r>
          </w:p>
        </w:tc>
        <w:tc>
          <w:tcPr>
            <w:tcW w:w="18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479"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Layout w:type="fixed"/>
          <w:tblCellMar>
            <w:top w:w="0" w:type="dxa"/>
            <w:left w:w="108" w:type="dxa"/>
            <w:bottom w:w="0" w:type="dxa"/>
            <w:right w:w="108" w:type="dxa"/>
          </w:tblCellMar>
        </w:tblPrEx>
        <w:trPr>
          <w:cantSplit/>
          <w:trHeight w:val="499" w:hRule="atLeast"/>
        </w:trPr>
        <w:tc>
          <w:tcPr>
            <w:tcW w:w="1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11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8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45"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2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cantSplit/>
          <w:trHeight w:val="90" w:hRule="atLeast"/>
        </w:trPr>
        <w:tc>
          <w:tcPr>
            <w:tcW w:w="111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1114" w:type="dxa"/>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宋体" w:hAnsi="宋体" w:cs="宋体"/>
                <w:color w:val="000000"/>
                <w:kern w:val="0"/>
                <w:sz w:val="18"/>
                <w:szCs w:val="18"/>
              </w:rPr>
              <w:t>社情民意信息报送数量</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ascii="宋体" w:hAnsi="宋体" w:cs="宋体"/>
                <w:kern w:val="0"/>
                <w:sz w:val="18"/>
                <w:szCs w:val="18"/>
              </w:rPr>
              <w:t>300</w:t>
            </w:r>
            <w:r>
              <w:rPr>
                <w:rFonts w:hint="eastAsia" w:ascii="宋体" w:hAnsi="宋体" w:cs="宋体"/>
                <w:kern w:val="0"/>
                <w:sz w:val="18"/>
                <w:szCs w:val="18"/>
              </w:rPr>
              <w:t>篇</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ascii="宋体" w:hAnsi="宋体" w:cs="宋体"/>
                <w:kern w:val="0"/>
                <w:sz w:val="18"/>
                <w:szCs w:val="18"/>
              </w:rPr>
              <w:t>1000</w:t>
            </w:r>
            <w:r>
              <w:rPr>
                <w:rFonts w:hint="eastAsia" w:ascii="宋体" w:hAnsi="宋体" w:cs="宋体"/>
                <w:kern w:val="0"/>
                <w:sz w:val="18"/>
                <w:szCs w:val="18"/>
              </w:rPr>
              <w:t>篇</w:t>
            </w:r>
          </w:p>
        </w:tc>
        <w:tc>
          <w:tcPr>
            <w:tcW w:w="845" w:type="dxa"/>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2852"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文卫体专委会专家论证、座谈及调研</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10</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妇委会专家论证、座谈及调研</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10</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新好时政漫谈</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社法专委会专家论证、座谈及调研</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8</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科教专委会专家论证、座谈及调研</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12</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881"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农业和农村专委会专家论证、座谈及调研</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7</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经济专委会专家论证、座谈及调研</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中山论坛</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人资环专委会专家论证、座谈及调研</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19</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114"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基层组织参政议政培训会</w:t>
            </w:r>
          </w:p>
        </w:tc>
        <w:tc>
          <w:tcPr>
            <w:tcW w:w="1278"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次</w:t>
            </w:r>
          </w:p>
        </w:tc>
        <w:tc>
          <w:tcPr>
            <w:tcW w:w="84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1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网站更新消息数量</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1200</w:t>
            </w:r>
            <w:r>
              <w:rPr>
                <w:rFonts w:hint="eastAsia" w:ascii="宋体" w:hAnsi="宋体" w:cs="宋体"/>
                <w:kern w:val="0"/>
                <w:sz w:val="18"/>
                <w:szCs w:val="18"/>
              </w:rPr>
              <w:t>条</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1100</w:t>
            </w:r>
            <w:r>
              <w:rPr>
                <w:rFonts w:hint="eastAsia" w:ascii="宋体" w:hAnsi="宋体" w:cs="宋体"/>
                <w:kern w:val="0"/>
                <w:sz w:val="18"/>
                <w:szCs w:val="18"/>
              </w:rPr>
              <w:t>条</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.3</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发布宣传稿件数量</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2200</w:t>
            </w:r>
            <w:r>
              <w:rPr>
                <w:rFonts w:hint="eastAsia" w:ascii="宋体" w:hAnsi="宋体" w:cs="宋体"/>
                <w:kern w:val="0"/>
                <w:sz w:val="18"/>
                <w:szCs w:val="18"/>
              </w:rPr>
              <w:t>个</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2000</w:t>
            </w:r>
            <w:r>
              <w:rPr>
                <w:rFonts w:hint="eastAsia" w:ascii="宋体" w:hAnsi="宋体" w:cs="宋体"/>
                <w:kern w:val="0"/>
                <w:sz w:val="18"/>
                <w:szCs w:val="18"/>
              </w:rPr>
              <w:t>个</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.3</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公众号发布消息数量</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800</w:t>
            </w:r>
            <w:r>
              <w:rPr>
                <w:rFonts w:hint="eastAsia" w:ascii="宋体" w:hAnsi="宋体" w:cs="宋体"/>
                <w:kern w:val="0"/>
                <w:sz w:val="18"/>
                <w:szCs w:val="18"/>
              </w:rPr>
              <w:t>条</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569</w:t>
            </w:r>
            <w:r>
              <w:rPr>
                <w:rFonts w:hint="eastAsia" w:ascii="宋体" w:hAnsi="宋体" w:cs="宋体"/>
                <w:kern w:val="0"/>
                <w:sz w:val="18"/>
                <w:szCs w:val="18"/>
              </w:rPr>
              <w:t>条</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出版杂志数量</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1008</w:t>
            </w:r>
            <w:r>
              <w:rPr>
                <w:rFonts w:hint="eastAsia" w:ascii="宋体" w:hAnsi="宋体" w:cs="宋体"/>
                <w:kern w:val="0"/>
                <w:sz w:val="18"/>
                <w:szCs w:val="18"/>
              </w:rPr>
              <w:t>册/期</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1008</w:t>
            </w:r>
            <w:r>
              <w:rPr>
                <w:rFonts w:hint="eastAsia" w:ascii="宋体" w:hAnsi="宋体" w:cs="宋体"/>
                <w:kern w:val="0"/>
                <w:sz w:val="18"/>
                <w:szCs w:val="18"/>
              </w:rPr>
              <w:t>册/期</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课题数量</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5</w:t>
            </w:r>
            <w:r>
              <w:rPr>
                <w:rFonts w:hint="eastAsia" w:ascii="宋体" w:hAnsi="宋体" w:cs="宋体"/>
                <w:kern w:val="0"/>
                <w:sz w:val="18"/>
                <w:szCs w:val="18"/>
              </w:rPr>
              <w:t>个</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6</w:t>
            </w:r>
            <w:r>
              <w:rPr>
                <w:rFonts w:hint="eastAsia" w:ascii="宋体" w:hAnsi="宋体" w:cs="宋体"/>
                <w:kern w:val="0"/>
                <w:sz w:val="18"/>
                <w:szCs w:val="18"/>
              </w:rPr>
              <w:t>个</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研究成果数量</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5</w:t>
            </w:r>
            <w:r>
              <w:rPr>
                <w:rFonts w:hint="eastAsia" w:ascii="宋体" w:hAnsi="宋体" w:cs="宋体"/>
                <w:kern w:val="0"/>
                <w:sz w:val="18"/>
                <w:szCs w:val="18"/>
              </w:rPr>
              <w:t>个</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5</w:t>
            </w:r>
            <w:r>
              <w:rPr>
                <w:rFonts w:hint="eastAsia" w:ascii="宋体" w:hAnsi="宋体" w:cs="宋体"/>
                <w:kern w:val="0"/>
                <w:sz w:val="18"/>
                <w:szCs w:val="18"/>
              </w:rPr>
              <w:t>个</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帮扶项目</w:t>
            </w:r>
            <w:r>
              <w:rPr>
                <w:rFonts w:hint="eastAsia" w:ascii="宋体" w:hAnsi="宋体" w:cs="宋体"/>
                <w:color w:val="000000"/>
                <w:kern w:val="0"/>
                <w:sz w:val="18"/>
                <w:szCs w:val="18"/>
                <w:lang w:eastAsia="zh-CN"/>
              </w:rPr>
              <w:t>落地</w:t>
            </w:r>
            <w:r>
              <w:rPr>
                <w:rFonts w:hint="eastAsia" w:ascii="宋体" w:hAnsi="宋体" w:cs="宋体"/>
                <w:color w:val="000000"/>
                <w:kern w:val="0"/>
                <w:sz w:val="18"/>
                <w:szCs w:val="18"/>
              </w:rPr>
              <w:t>数量</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lang w:val="en-US" w:eastAsia="zh-CN"/>
              </w:rPr>
              <w:t>2</w:t>
            </w:r>
            <w:r>
              <w:rPr>
                <w:rFonts w:hint="eastAsia" w:ascii="宋体" w:hAnsi="宋体" w:cs="宋体"/>
                <w:kern w:val="0"/>
                <w:sz w:val="18"/>
                <w:szCs w:val="18"/>
              </w:rPr>
              <w:t>个</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lang w:val="en-US" w:eastAsia="zh-CN"/>
              </w:rPr>
              <w:t>5</w:t>
            </w:r>
            <w:r>
              <w:rPr>
                <w:rFonts w:hint="eastAsia" w:ascii="宋体" w:hAnsi="宋体" w:cs="宋体"/>
                <w:kern w:val="0"/>
                <w:sz w:val="18"/>
                <w:szCs w:val="18"/>
              </w:rPr>
              <w:t>个</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公益捐赠次数</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3</w:t>
            </w:r>
            <w:r>
              <w:rPr>
                <w:rFonts w:hint="eastAsia" w:ascii="宋体" w:hAnsi="宋体" w:cs="宋体"/>
                <w:kern w:val="0"/>
                <w:sz w:val="18"/>
                <w:szCs w:val="18"/>
              </w:rPr>
              <w:t>次</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3</w:t>
            </w:r>
            <w:r>
              <w:rPr>
                <w:rFonts w:hint="eastAsia" w:ascii="宋体" w:hAnsi="宋体" w:cs="宋体"/>
                <w:kern w:val="0"/>
                <w:sz w:val="18"/>
                <w:szCs w:val="18"/>
              </w:rPr>
              <w:t>次</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书画作品创作、参展数量</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kern w:val="0"/>
                <w:sz w:val="18"/>
                <w:szCs w:val="18"/>
              </w:rPr>
              <w:t>60</w:t>
            </w:r>
            <w:r>
              <w:rPr>
                <w:rFonts w:hint="eastAsia" w:ascii="宋体" w:hAnsi="宋体" w:cs="宋体"/>
                <w:kern w:val="0"/>
                <w:sz w:val="18"/>
                <w:szCs w:val="18"/>
              </w:rPr>
              <w:t>个</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lang w:val="en-US" w:eastAsia="zh-CN"/>
              </w:rPr>
              <w:t>120</w:t>
            </w:r>
            <w:r>
              <w:rPr>
                <w:rFonts w:hint="eastAsia" w:ascii="宋体" w:hAnsi="宋体" w:cs="宋体"/>
                <w:kern w:val="0"/>
                <w:sz w:val="18"/>
                <w:szCs w:val="18"/>
              </w:rPr>
              <w:t>个</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ascii="宋体" w:hAnsi="宋体" w:cs="宋体"/>
                <w:color w:val="000000"/>
                <w:kern w:val="0"/>
                <w:sz w:val="20"/>
                <w:szCs w:val="20"/>
              </w:rPr>
              <w:t>.5</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599"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做好换届各项筹备工作</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rPr>
              <w:t>≥9</w:t>
            </w:r>
            <w:r>
              <w:rPr>
                <w:rFonts w:ascii="宋体" w:hAnsi="宋体" w:cs="宋体"/>
                <w:kern w:val="0"/>
                <w:sz w:val="18"/>
                <w:szCs w:val="18"/>
              </w:rPr>
              <w:t>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rPr>
              <w:t>≥9</w:t>
            </w:r>
            <w:r>
              <w:rPr>
                <w:rFonts w:ascii="宋体" w:hAnsi="宋体" w:cs="宋体"/>
                <w:kern w:val="0"/>
                <w:sz w:val="18"/>
                <w:szCs w:val="18"/>
              </w:rPr>
              <w:t>0%</w:t>
            </w:r>
          </w:p>
        </w:tc>
        <w:tc>
          <w:tcPr>
            <w:tcW w:w="845"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2852"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Layout w:type="fixed"/>
          <w:tblCellMar>
            <w:top w:w="0" w:type="dxa"/>
            <w:left w:w="108" w:type="dxa"/>
            <w:bottom w:w="0" w:type="dxa"/>
            <w:right w:w="108" w:type="dxa"/>
          </w:tblCellMar>
        </w:tblPrEx>
        <w:trPr>
          <w:cantSplit/>
          <w:trHeight w:val="42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lang w:eastAsia="zh-CN"/>
              </w:rPr>
              <w:t>民革</w:t>
            </w:r>
            <w:r>
              <w:rPr>
                <w:rFonts w:hint="eastAsia" w:ascii="宋体" w:hAnsi="宋体" w:cs="宋体"/>
                <w:color w:val="000000"/>
                <w:kern w:val="0"/>
                <w:sz w:val="18"/>
                <w:szCs w:val="18"/>
              </w:rPr>
              <w:t>党员参政议政水平</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rPr>
              <w:t>≥</w:t>
            </w:r>
            <w:r>
              <w:rPr>
                <w:rFonts w:ascii="宋体" w:hAnsi="宋体" w:cs="宋体"/>
                <w:kern w:val="0"/>
                <w:sz w:val="18"/>
                <w:szCs w:val="18"/>
              </w:rPr>
              <w:t>80%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rPr>
              <w:t>≥</w:t>
            </w:r>
            <w:r>
              <w:rPr>
                <w:rFonts w:ascii="宋体" w:hAnsi="宋体" w:cs="宋体"/>
                <w:kern w:val="0"/>
                <w:sz w:val="18"/>
                <w:szCs w:val="18"/>
              </w:rPr>
              <w:t>80%</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高质量参政议政党员数量</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rPr>
              <w:t>≥</w:t>
            </w:r>
            <w:r>
              <w:rPr>
                <w:rFonts w:ascii="宋体" w:hAnsi="宋体" w:cs="宋体"/>
                <w:kern w:val="0"/>
                <w:sz w:val="18"/>
                <w:szCs w:val="18"/>
              </w:rPr>
              <w:t>80%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kern w:val="0"/>
                <w:sz w:val="18"/>
                <w:szCs w:val="18"/>
              </w:rPr>
              <w:t>≥</w:t>
            </w:r>
            <w:r>
              <w:rPr>
                <w:rFonts w:ascii="宋体" w:hAnsi="宋体" w:cs="宋体"/>
                <w:kern w:val="0"/>
                <w:sz w:val="18"/>
                <w:szCs w:val="18"/>
              </w:rPr>
              <w:t>80%</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585"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培训对发展的正面影响</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80%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80%</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534"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培训人员对培训组织满意度</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80%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80%</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45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思想政治引领效果</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r>
              <w:rPr>
                <w:rFonts w:ascii="宋体" w:hAnsi="宋体" w:cs="宋体"/>
                <w:kern w:val="0"/>
                <w:sz w:val="18"/>
                <w:szCs w:val="18"/>
              </w:rPr>
              <w:t>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r>
              <w:rPr>
                <w:rFonts w:ascii="宋体" w:hAnsi="宋体" w:cs="宋体"/>
                <w:kern w:val="0"/>
                <w:sz w:val="18"/>
                <w:szCs w:val="18"/>
              </w:rPr>
              <w:t>0%</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549"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履行参政党职能积极性</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r>
              <w:rPr>
                <w:rFonts w:ascii="宋体" w:hAnsi="宋体" w:cs="宋体"/>
                <w:kern w:val="0"/>
                <w:sz w:val="18"/>
                <w:szCs w:val="18"/>
              </w:rPr>
              <w:t>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r>
              <w:rPr>
                <w:rFonts w:ascii="宋体" w:hAnsi="宋体" w:cs="宋体"/>
                <w:kern w:val="0"/>
                <w:sz w:val="18"/>
                <w:szCs w:val="18"/>
              </w:rPr>
              <w:t>0%</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5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eastAsia="zh-CN"/>
              </w:rPr>
              <w:t>民革</w:t>
            </w:r>
            <w:r>
              <w:rPr>
                <w:rFonts w:hint="eastAsia" w:ascii="宋体" w:hAnsi="宋体" w:cs="宋体"/>
                <w:color w:val="000000"/>
                <w:kern w:val="0"/>
                <w:sz w:val="18"/>
                <w:szCs w:val="18"/>
              </w:rPr>
              <w:t>党员满意度</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90%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90%</w:t>
            </w: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51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消费帮扶额</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万元</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val="en-US" w:eastAsia="zh-CN"/>
              </w:rPr>
              <w:t>11.57</w:t>
            </w:r>
            <w:r>
              <w:rPr>
                <w:rFonts w:hint="eastAsia" w:ascii="宋体" w:hAnsi="宋体" w:cs="宋体"/>
                <w:kern w:val="0"/>
                <w:sz w:val="18"/>
                <w:szCs w:val="18"/>
              </w:rPr>
              <w:t>万元</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15"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对接平台渠道销售额</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30</w:t>
            </w:r>
            <w:r>
              <w:rPr>
                <w:rFonts w:hint="eastAsia" w:ascii="宋体" w:hAnsi="宋体" w:cs="宋体"/>
                <w:kern w:val="0"/>
                <w:sz w:val="18"/>
                <w:szCs w:val="18"/>
              </w:rPr>
              <w:t>万元</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val="en-US" w:eastAsia="zh-CN"/>
              </w:rPr>
              <w:t>63.77</w:t>
            </w:r>
            <w:r>
              <w:rPr>
                <w:rFonts w:hint="eastAsia" w:ascii="宋体" w:hAnsi="宋体" w:cs="宋体"/>
                <w:kern w:val="0"/>
                <w:sz w:val="18"/>
                <w:szCs w:val="18"/>
              </w:rPr>
              <w:t>万元</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帮扶产生的社会影响</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表彰产生的正面影响</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15"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培训（参会）人员对讲师满意度</w:t>
            </w:r>
          </w:p>
        </w:tc>
        <w:tc>
          <w:tcPr>
            <w:tcW w:w="127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召开会议、慰问体现组织关怀的成效</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r>
              <w:rPr>
                <w:rFonts w:ascii="宋体" w:hAnsi="宋体" w:cs="宋体"/>
                <w:kern w:val="0"/>
                <w:sz w:val="18"/>
                <w:szCs w:val="18"/>
              </w:rPr>
              <w:t>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r>
              <w:rPr>
                <w:rFonts w:ascii="宋体" w:hAnsi="宋体" w:cs="宋体"/>
                <w:kern w:val="0"/>
                <w:sz w:val="18"/>
                <w:szCs w:val="18"/>
              </w:rPr>
              <w:t>0%</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345"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80%</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80%</w:t>
            </w:r>
          </w:p>
        </w:tc>
        <w:tc>
          <w:tcPr>
            <w:tcW w:w="84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487"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Layout w:type="fixed"/>
          <w:tblCellMar>
            <w:top w:w="0" w:type="dxa"/>
            <w:left w:w="108" w:type="dxa"/>
            <w:bottom w:w="0" w:type="dxa"/>
            <w:right w:w="108" w:type="dxa"/>
          </w:tblCellMar>
        </w:tblPrEx>
        <w:trPr>
          <w:cantSplit/>
          <w:trHeight w:val="702" w:hRule="atLeast"/>
        </w:trPr>
        <w:tc>
          <w:tcPr>
            <w:tcW w:w="1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12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18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845"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285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cantSplit/>
          <w:trHeight w:val="1682" w:hRule="atLeast"/>
        </w:trPr>
        <w:tc>
          <w:tcPr>
            <w:tcW w:w="111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111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1278"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财务管理制度是否健全，会计核算制度是否完整</w:t>
            </w:r>
          </w:p>
        </w:tc>
        <w:tc>
          <w:tcPr>
            <w:tcW w:w="188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继续执行修订</w:t>
            </w:r>
            <w:r>
              <w:rPr>
                <w:rFonts w:hint="eastAsia" w:ascii="宋体" w:hAnsi="宋体" w:cs="宋体"/>
                <w:color w:val="000000"/>
                <w:kern w:val="0"/>
                <w:sz w:val="20"/>
                <w:szCs w:val="20"/>
                <w:lang w:eastAsia="zh-CN"/>
              </w:rPr>
              <w:t>后</w:t>
            </w:r>
            <w:r>
              <w:rPr>
                <w:rFonts w:hint="eastAsia" w:ascii="宋体" w:hAnsi="宋体" w:cs="宋体"/>
                <w:color w:val="000000"/>
                <w:kern w:val="0"/>
                <w:sz w:val="20"/>
                <w:szCs w:val="20"/>
              </w:rPr>
              <w:t>的财务制度，内部制度完整合规，会计核算制度完整</w:t>
            </w:r>
          </w:p>
        </w:tc>
        <w:tc>
          <w:tcPr>
            <w:tcW w:w="845"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285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Layout w:type="fixed"/>
          <w:tblCellMar>
            <w:top w:w="0" w:type="dxa"/>
            <w:left w:w="108" w:type="dxa"/>
            <w:bottom w:w="0" w:type="dxa"/>
            <w:right w:w="108" w:type="dxa"/>
          </w:tblCellMar>
        </w:tblPrEx>
        <w:trPr>
          <w:cantSplit/>
          <w:trHeight w:val="222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1278"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资金是否符合预算资金相关规定，是否能够保证资金的安全性</w:t>
            </w:r>
          </w:p>
        </w:tc>
        <w:tc>
          <w:tcPr>
            <w:tcW w:w="188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资金使用按照国家财经法规和财务管理制度的规定，有完整闭环的支付流程，重大开支执行三重一大制度，不存在截留挤占挪用情况，公务卡使用有相关的制度规定约束，预算资金整体规范运行</w:t>
            </w:r>
          </w:p>
        </w:tc>
        <w:tc>
          <w:tcPr>
            <w:tcW w:w="845"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285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Layout w:type="fixed"/>
          <w:tblCellMar>
            <w:top w:w="0" w:type="dxa"/>
            <w:left w:w="108" w:type="dxa"/>
            <w:bottom w:w="0" w:type="dxa"/>
            <w:right w:w="108" w:type="dxa"/>
          </w:tblCellMar>
        </w:tblPrEx>
        <w:trPr>
          <w:cantSplit/>
          <w:trHeight w:val="41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1278"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会计基础信息是否真实、完整、准确</w:t>
            </w:r>
          </w:p>
        </w:tc>
        <w:tc>
          <w:tcPr>
            <w:tcW w:w="188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严格执行政府会计准则制度，按照实际发生的事项进行会计核算，及时提供合法真实准确和完整的会计信息</w:t>
            </w:r>
          </w:p>
        </w:tc>
        <w:tc>
          <w:tcPr>
            <w:tcW w:w="845"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45"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285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Layout w:type="fixed"/>
          <w:tblCellMar>
            <w:top w:w="0" w:type="dxa"/>
            <w:left w:w="108" w:type="dxa"/>
            <w:bottom w:w="0" w:type="dxa"/>
            <w:right w:w="108" w:type="dxa"/>
          </w:tblCellMar>
        </w:tblPrEx>
        <w:trPr>
          <w:cantSplit/>
          <w:trHeight w:val="2927"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17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12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ascii="宋体" w:hAnsi="宋体" w:cs="宋体"/>
                <w:color w:val="000000"/>
                <w:kern w:val="0"/>
                <w:sz w:val="20"/>
                <w:szCs w:val="20"/>
              </w:rPr>
            </w:pPr>
            <w:r>
              <w:rPr>
                <w:rFonts w:hint="eastAsia" w:ascii="宋体" w:hAnsi="宋体" w:cs="宋体"/>
                <w:color w:val="000000"/>
                <w:kern w:val="0"/>
                <w:sz w:val="20"/>
                <w:szCs w:val="20"/>
              </w:rPr>
              <w:t>资产购置、处置、配置是否合理、规范</w:t>
            </w:r>
          </w:p>
        </w:tc>
        <w:tc>
          <w:tcPr>
            <w:tcW w:w="1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ascii="宋体" w:hAnsi="宋体" w:cs="宋体"/>
                <w:color w:val="000000"/>
                <w:kern w:val="0"/>
                <w:sz w:val="20"/>
                <w:szCs w:val="20"/>
              </w:rPr>
            </w:pPr>
            <w:r>
              <w:rPr>
                <w:rFonts w:hint="eastAsia" w:ascii="宋体" w:hAnsi="宋体" w:cs="宋体"/>
                <w:color w:val="000000"/>
                <w:kern w:val="0"/>
                <w:sz w:val="20"/>
                <w:szCs w:val="20"/>
              </w:rPr>
              <w:t>资产购置按照预算资金和政府采购流程执行，资产配置符合资产相关管理规定，资产处置按照资产管理办法执行。不存在出租出借资产行为</w:t>
            </w: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hAnsi="宋体" w:cs="宋体"/>
                <w:color w:val="000000"/>
                <w:kern w:val="0"/>
                <w:sz w:val="20"/>
                <w:szCs w:val="20"/>
              </w:rPr>
            </w:pPr>
            <w:r>
              <w:rPr>
                <w:rFonts w:hint="eastAsia" w:ascii="宋体" w:hAnsi="宋体" w:cs="宋体"/>
                <w:color w:val="000000"/>
                <w:kern w:val="0"/>
                <w:sz w:val="20"/>
                <w:szCs w:val="20"/>
              </w:rPr>
              <w:t>4</w:t>
            </w: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hAnsi="宋体" w:cs="宋体"/>
                <w:color w:val="000000"/>
                <w:kern w:val="0"/>
                <w:sz w:val="20"/>
                <w:szCs w:val="20"/>
              </w:rPr>
            </w:pPr>
            <w:r>
              <w:rPr>
                <w:rFonts w:hint="eastAsia" w:ascii="宋体" w:hAnsi="宋体" w:cs="宋体"/>
                <w:color w:val="000000"/>
                <w:kern w:val="0"/>
                <w:sz w:val="20"/>
                <w:szCs w:val="20"/>
              </w:rPr>
              <w:t>4</w:t>
            </w:r>
          </w:p>
        </w:tc>
        <w:tc>
          <w:tcPr>
            <w:tcW w:w="25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28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Layout w:type="fixed"/>
          <w:tblCellMar>
            <w:top w:w="0" w:type="dxa"/>
            <w:left w:w="108" w:type="dxa"/>
            <w:bottom w:w="0" w:type="dxa"/>
            <w:right w:w="108" w:type="dxa"/>
          </w:tblCellMar>
        </w:tblPrEx>
        <w:trPr>
          <w:cantSplit/>
          <w:trHeight w:val="121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17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1278"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绩效信息是否汇总，并加以运用</w:t>
            </w:r>
          </w:p>
        </w:tc>
        <w:tc>
          <w:tcPr>
            <w:tcW w:w="188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能够按照预算绩效目标开展各项工作，绩效信息比较丰富，但分析整理工作欠缺</w:t>
            </w:r>
          </w:p>
        </w:tc>
        <w:tc>
          <w:tcPr>
            <w:tcW w:w="8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5"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285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Layout w:type="fixed"/>
          <w:tblCellMar>
            <w:top w:w="0" w:type="dxa"/>
            <w:left w:w="108" w:type="dxa"/>
            <w:bottom w:w="0" w:type="dxa"/>
            <w:right w:w="108" w:type="dxa"/>
          </w:tblCellMar>
        </w:tblPrEx>
        <w:trPr>
          <w:cantSplit/>
          <w:trHeight w:val="394"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298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2021年</w:t>
            </w:r>
          </w:p>
        </w:tc>
        <w:tc>
          <w:tcPr>
            <w:tcW w:w="18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w:t>
            </w:r>
          </w:p>
        </w:tc>
        <w:tc>
          <w:tcPr>
            <w:tcW w:w="8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2852" w:type="dxa"/>
            <w:tcBorders>
              <w:top w:val="single" w:color="auto" w:sz="4" w:space="0"/>
              <w:left w:val="nil"/>
              <w:bottom w:val="single" w:color="auto" w:sz="4" w:space="0"/>
              <w:right w:val="single" w:color="auto" w:sz="4" w:space="0"/>
            </w:tcBorders>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cantSplit/>
          <w:trHeight w:val="2229"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298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r>
              <w:rPr>
                <w:rFonts w:ascii="宋体" w:hAnsi="宋体" w:cs="宋体"/>
                <w:color w:val="000000"/>
                <w:kern w:val="0"/>
                <w:sz w:val="20"/>
                <w:szCs w:val="20"/>
              </w:rPr>
              <w:t>.68%</w:t>
            </w:r>
          </w:p>
        </w:tc>
        <w:tc>
          <w:tcPr>
            <w:tcW w:w="18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r>
              <w:rPr>
                <w:rFonts w:ascii="宋体" w:hAnsi="宋体" w:cs="宋体"/>
                <w:color w:val="000000"/>
                <w:kern w:val="0"/>
                <w:sz w:val="20"/>
                <w:szCs w:val="20"/>
              </w:rPr>
              <w:t>.03%</w:t>
            </w:r>
          </w:p>
        </w:tc>
        <w:tc>
          <w:tcPr>
            <w:tcW w:w="8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5"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285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Layout w:type="fixed"/>
          <w:tblCellMar>
            <w:top w:w="0" w:type="dxa"/>
            <w:left w:w="108" w:type="dxa"/>
            <w:bottom w:w="0" w:type="dxa"/>
            <w:right w:w="108" w:type="dxa"/>
          </w:tblCellMar>
        </w:tblPrEx>
        <w:trPr>
          <w:cantSplit/>
          <w:trHeight w:val="981"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114" w:type="dxa"/>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2985" w:type="dxa"/>
            <w:gridSpan w:val="2"/>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8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r>
              <w:rPr>
                <w:rFonts w:ascii="宋体" w:hAnsi="宋体" w:cs="宋体"/>
                <w:color w:val="000000"/>
                <w:kern w:val="0"/>
                <w:sz w:val="20"/>
                <w:szCs w:val="20"/>
              </w:rPr>
              <w:t>.02%</w:t>
            </w:r>
          </w:p>
        </w:tc>
        <w:tc>
          <w:tcPr>
            <w:tcW w:w="8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5"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53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285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Layout w:type="fixed"/>
          <w:tblCellMar>
            <w:top w:w="0" w:type="dxa"/>
            <w:left w:w="108" w:type="dxa"/>
            <w:bottom w:w="0" w:type="dxa"/>
            <w:right w:w="108" w:type="dxa"/>
          </w:tblCellMar>
        </w:tblPrEx>
        <w:trPr>
          <w:cantSplit/>
          <w:trHeight w:val="484" w:hRule="atLeast"/>
        </w:trPr>
        <w:tc>
          <w:tcPr>
            <w:tcW w:w="7095"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84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r>
              <w:rPr>
                <w:rFonts w:ascii="宋体" w:hAnsi="宋体" w:cs="宋体"/>
                <w:color w:val="000000"/>
                <w:kern w:val="0"/>
                <w:sz w:val="20"/>
                <w:szCs w:val="20"/>
              </w:rPr>
              <w:t>5.1</w:t>
            </w:r>
          </w:p>
        </w:tc>
        <w:tc>
          <w:tcPr>
            <w:tcW w:w="5389"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pPr>
        <w:spacing w:line="20" w:lineRule="exact"/>
        <w:rPr>
          <w:rFonts w:ascii="方正小标宋简体" w:eastAsia="方正小标宋简体"/>
          <w:sz w:val="36"/>
          <w:szCs w:val="36"/>
        </w:rPr>
      </w:pP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jc w:val="center"/>
      <w:rPr>
        <w:sz w:val="21"/>
        <w:szCs w:val="21"/>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47B9B"/>
    <w:rsid w:val="00051A33"/>
    <w:rsid w:val="00054DA8"/>
    <w:rsid w:val="00077674"/>
    <w:rsid w:val="00090C0C"/>
    <w:rsid w:val="0010089B"/>
    <w:rsid w:val="00147376"/>
    <w:rsid w:val="0019344D"/>
    <w:rsid w:val="001B292E"/>
    <w:rsid w:val="001E55E6"/>
    <w:rsid w:val="00242384"/>
    <w:rsid w:val="00265DB6"/>
    <w:rsid w:val="00290B00"/>
    <w:rsid w:val="00292271"/>
    <w:rsid w:val="003173EC"/>
    <w:rsid w:val="00376D07"/>
    <w:rsid w:val="00382C65"/>
    <w:rsid w:val="003B2D80"/>
    <w:rsid w:val="00414392"/>
    <w:rsid w:val="00432584"/>
    <w:rsid w:val="004A208D"/>
    <w:rsid w:val="004A5721"/>
    <w:rsid w:val="004A636A"/>
    <w:rsid w:val="004B05C7"/>
    <w:rsid w:val="004B5994"/>
    <w:rsid w:val="004D4457"/>
    <w:rsid w:val="00527D2F"/>
    <w:rsid w:val="0059240C"/>
    <w:rsid w:val="00594160"/>
    <w:rsid w:val="005E523D"/>
    <w:rsid w:val="005F155E"/>
    <w:rsid w:val="00651409"/>
    <w:rsid w:val="00653620"/>
    <w:rsid w:val="006604CF"/>
    <w:rsid w:val="00663CE4"/>
    <w:rsid w:val="00673190"/>
    <w:rsid w:val="006B5DF9"/>
    <w:rsid w:val="006C48EF"/>
    <w:rsid w:val="006E18A7"/>
    <w:rsid w:val="006E4686"/>
    <w:rsid w:val="006F78C9"/>
    <w:rsid w:val="00702294"/>
    <w:rsid w:val="00752418"/>
    <w:rsid w:val="00780EF8"/>
    <w:rsid w:val="00792A8C"/>
    <w:rsid w:val="007B4193"/>
    <w:rsid w:val="00834D05"/>
    <w:rsid w:val="008B15D0"/>
    <w:rsid w:val="008B4F97"/>
    <w:rsid w:val="008C2108"/>
    <w:rsid w:val="00951117"/>
    <w:rsid w:val="00953322"/>
    <w:rsid w:val="009B3893"/>
    <w:rsid w:val="00A24E58"/>
    <w:rsid w:val="00A42525"/>
    <w:rsid w:val="00A458B0"/>
    <w:rsid w:val="00AB4E73"/>
    <w:rsid w:val="00AC5DE5"/>
    <w:rsid w:val="00B37830"/>
    <w:rsid w:val="00BE0EB3"/>
    <w:rsid w:val="00C10F47"/>
    <w:rsid w:val="00C25C43"/>
    <w:rsid w:val="00C31336"/>
    <w:rsid w:val="00C33D56"/>
    <w:rsid w:val="00C417F7"/>
    <w:rsid w:val="00C61C0E"/>
    <w:rsid w:val="00C87F39"/>
    <w:rsid w:val="00CB7642"/>
    <w:rsid w:val="00CD095B"/>
    <w:rsid w:val="00D0076F"/>
    <w:rsid w:val="00D05CA4"/>
    <w:rsid w:val="00D74097"/>
    <w:rsid w:val="00D96D11"/>
    <w:rsid w:val="00DF5C61"/>
    <w:rsid w:val="00E1481A"/>
    <w:rsid w:val="00E20AF2"/>
    <w:rsid w:val="00E659CF"/>
    <w:rsid w:val="00E802F5"/>
    <w:rsid w:val="00EB7D95"/>
    <w:rsid w:val="00F156A5"/>
    <w:rsid w:val="00F46D87"/>
    <w:rsid w:val="00F809AE"/>
    <w:rsid w:val="00FA64CA"/>
    <w:rsid w:val="00FE2D81"/>
    <w:rsid w:val="113678B6"/>
    <w:rsid w:val="175F53D8"/>
    <w:rsid w:val="19125012"/>
    <w:rsid w:val="1C541D08"/>
    <w:rsid w:val="24453DB3"/>
    <w:rsid w:val="2F7C1090"/>
    <w:rsid w:val="32FC564E"/>
    <w:rsid w:val="37173543"/>
    <w:rsid w:val="39811375"/>
    <w:rsid w:val="3C143882"/>
    <w:rsid w:val="3FDBA076"/>
    <w:rsid w:val="3FDFB3F0"/>
    <w:rsid w:val="3FDFC9A6"/>
    <w:rsid w:val="3FF76880"/>
    <w:rsid w:val="5BFD4AC2"/>
    <w:rsid w:val="65430036"/>
    <w:rsid w:val="65B43ABF"/>
    <w:rsid w:val="67759716"/>
    <w:rsid w:val="6F7ED27B"/>
    <w:rsid w:val="6FB96AAA"/>
    <w:rsid w:val="725C2022"/>
    <w:rsid w:val="75B17A7C"/>
    <w:rsid w:val="7AB7FF50"/>
    <w:rsid w:val="7AEAF641"/>
    <w:rsid w:val="7BAD2729"/>
    <w:rsid w:val="7BFEB0DB"/>
    <w:rsid w:val="7F30608D"/>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1607</Words>
  <Characters>9162</Characters>
  <Lines>76</Lines>
  <Paragraphs>21</Paragraphs>
  <TotalTime>61</TotalTime>
  <ScaleCrop>false</ScaleCrop>
  <LinksUpToDate>false</LinksUpToDate>
  <CharactersWithSpaces>10748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2022-03-14T19:16:00Z</dcterms:created>
  <dc:creator>user</dc:creator>
  <cp:lastModifiedBy>lenovo</cp:lastModifiedBy>
  <cp:lastPrinted>2023-08-11T06:53:00Z</cp:lastPrinted>
  <dcterms:modified xsi:type="dcterms:W3CDTF">2023-08-22T01:47:53Z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